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民乐县机关事务中心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2023年</w:t>
      </w: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单位整体支出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绩效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目标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监控报告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根据民乐县财政局关于开展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年度县级预算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绩效管理工作</w:t>
      </w:r>
      <w:r>
        <w:rPr>
          <w:rFonts w:hint="eastAsia" w:ascii="仿宋_GB2312" w:eastAsia="仿宋_GB2312" w:cs="仿宋_GB2312"/>
          <w:sz w:val="32"/>
          <w:szCs w:val="32"/>
        </w:rPr>
        <w:t>暨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年度绩效目标申报和事前绩效评估工作的通知，为全面推进预算绩效管理，我单位认真组织开展绩效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目标监控</w:t>
      </w:r>
      <w:r>
        <w:rPr>
          <w:rFonts w:hint="eastAsia" w:ascii="仿宋_GB2312" w:eastAsia="仿宋_GB2312" w:cs="仿宋_GB2312"/>
          <w:sz w:val="32"/>
          <w:szCs w:val="32"/>
        </w:rPr>
        <w:t>自评工作，现将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年部门整体支出预算绩效目标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监控</w:t>
      </w:r>
      <w:r>
        <w:rPr>
          <w:rFonts w:hint="eastAsia" w:ascii="仿宋_GB2312" w:eastAsia="仿宋_GB2312" w:cs="仿宋_GB2312"/>
          <w:sz w:val="32"/>
          <w:szCs w:val="32"/>
        </w:rPr>
        <w:t>完成情况和预算执行情况报告如下：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一、基本职能及机构设置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（一）机构组成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民乐县机关事务中心隶属民乐县人民政府办公室管理，正科级建制，财政全额拨款事业单位。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）部门主要职能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研究拟定机关事务工作和公共机构节能管理的发展规划、管理办法及有关制度并组织实施；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2.负责机关事务管理和全县公共机构能耗统计、监测、评价 工作；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3.负责县政府大院公共设施及国有资产管理；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4.负责县政府大院安全管理、绿化美化、环境卫生及水电暖供应保障等工作；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5.负责各部门、各单位跨区域调研及重大项目督查、处置重大应急突发事件提供用车服务；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6.接待省市有关部门和兄弟县区检查指导、交流考察等公务活动提供用车服务；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7.负责公务用车服务平台车辆的管理、维修保养、调度使用、费用结算及对驾驶员的安全教育，为规定的部门执法执勤工作提供用车服务；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8.完成县委、县政府交办的其他工作。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（三）人员概况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民乐县机关事务中心</w:t>
      </w:r>
      <w:r>
        <w:rPr>
          <w:rFonts w:hint="eastAsia" w:ascii="仿宋_GB2312" w:eastAsia="仿宋_GB2312" w:cs="仿宋_GB2312"/>
          <w:sz w:val="32"/>
          <w:szCs w:val="32"/>
        </w:rPr>
        <w:t>共有干部职工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人，其中:事业编制人员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存在问题及分析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4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4"/>
          <w:kern w:val="0"/>
          <w:sz w:val="30"/>
          <w:szCs w:val="30"/>
          <w:shd w:val="clear" w:fill="FFFFFF"/>
          <w:lang w:val="en-US" w:eastAsia="zh-CN" w:bidi="ar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4"/>
          <w:kern w:val="0"/>
          <w:sz w:val="30"/>
          <w:szCs w:val="30"/>
          <w:shd w:val="clear" w:fill="FFFFFF"/>
          <w:lang w:val="en-US" w:eastAsia="zh-CN" w:bidi="ar"/>
        </w:rPr>
        <w:t>23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4"/>
          <w:kern w:val="0"/>
          <w:sz w:val="30"/>
          <w:szCs w:val="30"/>
          <w:shd w:val="clear" w:fill="FFFFFF"/>
          <w:lang w:val="en-US" w:eastAsia="zh-CN" w:bidi="ar"/>
        </w:rPr>
        <w:t>年本单位整体支出绩效目标监控任务达成，不存在未完成原因分析。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下一步措施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下一步改进本单位绩效监控组织、管理、实施方式等的思路。 加强监管，做到监管机制环环相扣，不出现断层、行政单位预算是财政总预算的基础，它是党和国家方针政策和社会发展战略在行政单位预算中的体现，是单位行政正常开展业务活动的重要经济保证。因此，为保证预算编制的质量，在编制预算中，本单位遵循下列原则：合法性原则、完整性原则、真实性原则、稳妥性原则、合作性原则、绩效性原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640" w:firstLine="640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民乐县机关事务中心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2023年10月12日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NDZhMDhlZGI1ZDQ1ZTliYjIwYzUyN2IwNTU3MTkifQ=="/>
    <w:docVar w:name="KSO_WPS_MARK_KEY" w:val="d6e51669-e1de-45fb-a8e1-435f3b065840"/>
  </w:docVars>
  <w:rsids>
    <w:rsidRoot w:val="1E2C61BE"/>
    <w:rsid w:val="0AAF2538"/>
    <w:rsid w:val="11B1300C"/>
    <w:rsid w:val="1A8E7D82"/>
    <w:rsid w:val="1E2C61BE"/>
    <w:rsid w:val="35C0783C"/>
    <w:rsid w:val="474313D6"/>
    <w:rsid w:val="52E53CDC"/>
    <w:rsid w:val="5AF73214"/>
    <w:rsid w:val="690C1B6B"/>
    <w:rsid w:val="6CF748E0"/>
    <w:rsid w:val="7DE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snapToGrid w:val="0"/>
      <w:spacing w:line="590" w:lineRule="exact"/>
      <w:ind w:firstLine="420" w:firstLineChars="200"/>
    </w:pPr>
    <w:rPr>
      <w:rFonts w:ascii="Times New Roman" w:hAnsi="Times New Roman" w:eastAsia="仿宋_GB2312"/>
      <w:spacing w:val="6"/>
      <w:sz w:val="32"/>
    </w:rPr>
  </w:style>
  <w:style w:type="paragraph" w:styleId="3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1717</Words>
  <Characters>1858</Characters>
  <Lines>0</Lines>
  <Paragraphs>0</Paragraphs>
  <TotalTime>1</TotalTime>
  <ScaleCrop>false</ScaleCrop>
  <LinksUpToDate>false</LinksUpToDate>
  <CharactersWithSpaces>1916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2024-03-13T06:57:00Z</dcterms:created>
  <dc:creator>芷维</dc:creator>
  <cp:lastModifiedBy>刘宇</cp:lastModifiedBy>
  <dcterms:modified xsi:type="dcterms:W3CDTF">2024-03-21T01:07:24Z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24BE1A7B74A7444B871D8BF79748EC03</vt:lpwstr>
  </property>
</Properties>
</file>